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85AA7" w14:textId="77777777" w:rsidR="003F0A1E" w:rsidRDefault="003F0A1E" w:rsidP="003F0A1E">
      <w:pPr>
        <w:spacing w:after="0" w:line="240" w:lineRule="auto"/>
      </w:pPr>
      <w:bookmarkStart w:id="0" w:name="_GoBack"/>
      <w:bookmarkEnd w:id="0"/>
      <w:r>
        <w:t>An die</w:t>
      </w:r>
    </w:p>
    <w:p w14:paraId="7F6D686A" w14:textId="2F9552DB" w:rsidR="003F0A1E" w:rsidRDefault="003F0A1E" w:rsidP="003F0A1E">
      <w:pPr>
        <w:spacing w:after="0" w:line="240" w:lineRule="auto"/>
      </w:pPr>
      <w:r>
        <w:t>Staatsanwaltschaft Darmstadt</w:t>
      </w:r>
    </w:p>
    <w:p w14:paraId="234BA039" w14:textId="77777777" w:rsidR="003F0A1E" w:rsidRDefault="003F0A1E" w:rsidP="003F0A1E">
      <w:pPr>
        <w:spacing w:after="0" w:line="240" w:lineRule="auto"/>
      </w:pPr>
      <w:r>
        <w:t>Mathildenplatz 15</w:t>
      </w:r>
    </w:p>
    <w:p w14:paraId="274E6BF9" w14:textId="77777777" w:rsidR="003F0A1E" w:rsidRDefault="003F0A1E" w:rsidP="003F0A1E">
      <w:pPr>
        <w:spacing w:after="0" w:line="240" w:lineRule="auto"/>
      </w:pPr>
      <w:r>
        <w:t>64283 Darmstadt</w:t>
      </w:r>
    </w:p>
    <w:p w14:paraId="0690EAF4" w14:textId="77777777" w:rsidR="003F0A1E" w:rsidRDefault="003F0A1E" w:rsidP="003F0A1E"/>
    <w:p w14:paraId="00924EAA" w14:textId="77777777" w:rsidR="003F0A1E" w:rsidRDefault="003F0A1E" w:rsidP="003F0A1E"/>
    <w:p w14:paraId="07E06FD5" w14:textId="77777777" w:rsidR="003F0A1E" w:rsidRDefault="003F0A1E" w:rsidP="003F0A1E"/>
    <w:p w14:paraId="482EE7F7" w14:textId="77777777" w:rsidR="003F0A1E" w:rsidRDefault="003F0A1E" w:rsidP="003F0A1E"/>
    <w:p w14:paraId="4A85CCCD" w14:textId="60FC9566" w:rsidR="003F0A1E" w:rsidRDefault="003F0A1E" w:rsidP="003F0A1E">
      <w:pPr>
        <w:jc w:val="right"/>
      </w:pPr>
      <w:r>
        <w:t>Ort, Datum</w:t>
      </w:r>
    </w:p>
    <w:p w14:paraId="0A0EC35F" w14:textId="77777777" w:rsidR="003F0A1E" w:rsidRDefault="003F0A1E" w:rsidP="003F0A1E"/>
    <w:p w14:paraId="7369C064" w14:textId="77777777" w:rsidR="003F0A1E" w:rsidRDefault="003F0A1E" w:rsidP="003F0A1E"/>
    <w:p w14:paraId="3B06B4F7" w14:textId="77777777" w:rsidR="003F0A1E" w:rsidRPr="003F0A1E" w:rsidRDefault="003F0A1E" w:rsidP="003F0A1E">
      <w:pPr>
        <w:rPr>
          <w:b/>
          <w:bCs/>
        </w:rPr>
      </w:pPr>
      <w:r w:rsidRPr="003F0A1E">
        <w:rPr>
          <w:b/>
          <w:bCs/>
        </w:rPr>
        <w:t>Strafanzeige wegen des Verdachts des gewerbs- und bandenmäßigen Betrugs et. alt.</w:t>
      </w:r>
    </w:p>
    <w:p w14:paraId="0B592C4B" w14:textId="77777777" w:rsidR="003F0A1E" w:rsidRDefault="003F0A1E" w:rsidP="003F0A1E"/>
    <w:p w14:paraId="7704F470" w14:textId="77777777" w:rsidR="003F0A1E" w:rsidRDefault="003F0A1E" w:rsidP="003F0A1E"/>
    <w:p w14:paraId="14225990" w14:textId="77777777" w:rsidR="003F0A1E" w:rsidRDefault="003F0A1E" w:rsidP="003F0A1E">
      <w:r>
        <w:t>Sehr geehrte Damen und Herren,</w:t>
      </w:r>
    </w:p>
    <w:p w14:paraId="04D299F2" w14:textId="69F69E6F" w:rsidR="003F0A1E" w:rsidRDefault="003F0A1E" w:rsidP="003F0A1E">
      <w:r>
        <w:t xml:space="preserve">ich/wir bin/sind Inhaber von Schuldverschreibungen _________________[Bitte tragen Sie die Bezeichnung Ihrer Schuldverschreibungen ein] im Nennwert von ___________________. Euro. Einen entsprechenden Nachweis habe ich diesem Schreiben beigefügt.  </w:t>
      </w:r>
    </w:p>
    <w:p w14:paraId="1E6887F9" w14:textId="5EA1B174" w:rsidR="003F0A1E" w:rsidRDefault="003F0A1E" w:rsidP="003F0A1E">
      <w:r>
        <w:t>Hiermit erstatte ich/wir Strafanzeige gegen</w:t>
      </w:r>
    </w:p>
    <w:p w14:paraId="2DF233D7" w14:textId="77777777" w:rsidR="003F0A1E" w:rsidRDefault="003F0A1E" w:rsidP="003F0A1E"/>
    <w:p w14:paraId="3FBB9D97" w14:textId="77777777" w:rsidR="003F0A1E" w:rsidRDefault="003F0A1E" w:rsidP="003F0A1E">
      <w:pPr>
        <w:spacing w:after="0" w:line="240" w:lineRule="auto"/>
      </w:pPr>
      <w:r>
        <w:t>1)</w:t>
      </w:r>
      <w:r>
        <w:tab/>
        <w:t>Joachim Winter</w:t>
      </w:r>
    </w:p>
    <w:p w14:paraId="1B998592" w14:textId="77777777" w:rsidR="003F0A1E" w:rsidRDefault="003F0A1E" w:rsidP="003F0A1E">
      <w:pPr>
        <w:spacing w:after="0" w:line="240" w:lineRule="auto"/>
      </w:pPr>
      <w:r>
        <w:t>c/o Pro Real Europe 9 GmbH, Dornhofstr. 100, 63263 Neu-Isenburg</w:t>
      </w:r>
    </w:p>
    <w:p w14:paraId="6BA5F21A" w14:textId="77777777" w:rsidR="003F0A1E" w:rsidRDefault="003F0A1E" w:rsidP="003F0A1E">
      <w:pPr>
        <w:spacing w:after="0" w:line="240" w:lineRule="auto"/>
      </w:pPr>
    </w:p>
    <w:p w14:paraId="5845B4E6" w14:textId="77777777" w:rsidR="003F0A1E" w:rsidRDefault="003F0A1E" w:rsidP="003F0A1E">
      <w:pPr>
        <w:spacing w:after="0" w:line="240" w:lineRule="auto"/>
      </w:pPr>
      <w:r>
        <w:t>2)</w:t>
      </w:r>
      <w:r>
        <w:tab/>
        <w:t>Tim Hartwich</w:t>
      </w:r>
    </w:p>
    <w:p w14:paraId="0539B34D" w14:textId="77777777" w:rsidR="003F0A1E" w:rsidRDefault="003F0A1E" w:rsidP="003F0A1E">
      <w:pPr>
        <w:spacing w:after="0" w:line="240" w:lineRule="auto"/>
      </w:pPr>
      <w:r>
        <w:t xml:space="preserve">c/o SC </w:t>
      </w:r>
      <w:proofErr w:type="spellStart"/>
      <w:r>
        <w:t>Finance</w:t>
      </w:r>
      <w:proofErr w:type="spellEnd"/>
      <w:r>
        <w:t xml:space="preserve"> </w:t>
      </w:r>
      <w:proofErr w:type="spellStart"/>
      <w:r>
        <w:t>Four</w:t>
      </w:r>
      <w:proofErr w:type="spellEnd"/>
      <w:r>
        <w:t xml:space="preserve"> GmbH, Dornhofstr. 100, 63263 Neu-Isenburg</w:t>
      </w:r>
    </w:p>
    <w:p w14:paraId="11A038FD" w14:textId="77777777" w:rsidR="003F0A1E" w:rsidRDefault="003F0A1E" w:rsidP="003F0A1E">
      <w:pPr>
        <w:spacing w:after="0" w:line="240" w:lineRule="auto"/>
      </w:pPr>
    </w:p>
    <w:p w14:paraId="4AB6F53C" w14:textId="77777777" w:rsidR="003F0A1E" w:rsidRDefault="003F0A1E" w:rsidP="003F0A1E">
      <w:pPr>
        <w:spacing w:after="0" w:line="240" w:lineRule="auto"/>
      </w:pPr>
      <w:r>
        <w:t>3)</w:t>
      </w:r>
      <w:r>
        <w:tab/>
        <w:t xml:space="preserve">Michele </w:t>
      </w:r>
      <w:proofErr w:type="spellStart"/>
      <w:r>
        <w:t>Sciurba</w:t>
      </w:r>
      <w:proofErr w:type="spellEnd"/>
      <w:r>
        <w:t xml:space="preserve">, </w:t>
      </w:r>
    </w:p>
    <w:p w14:paraId="67EAE8E5" w14:textId="77777777" w:rsidR="003F0A1E" w:rsidRDefault="003F0A1E" w:rsidP="003F0A1E">
      <w:pPr>
        <w:spacing w:after="0" w:line="240" w:lineRule="auto"/>
      </w:pPr>
      <w:r>
        <w:t>c/o GMVV &amp; Co. GmbH, Bergesgrundweg 3, 60599 Frankfurt am Main</w:t>
      </w:r>
    </w:p>
    <w:p w14:paraId="39F57AD3" w14:textId="77777777" w:rsidR="003F0A1E" w:rsidRDefault="003F0A1E" w:rsidP="003F0A1E"/>
    <w:p w14:paraId="1975BE22" w14:textId="77777777" w:rsidR="003F0A1E" w:rsidRDefault="003F0A1E" w:rsidP="003F0A1E">
      <w:pPr>
        <w:spacing w:after="0" w:line="240" w:lineRule="auto"/>
      </w:pPr>
      <w:r>
        <w:t>4)</w:t>
      </w:r>
      <w:r>
        <w:tab/>
        <w:t xml:space="preserve">Erwin </w:t>
      </w:r>
      <w:proofErr w:type="spellStart"/>
      <w:r>
        <w:t>Soravia</w:t>
      </w:r>
      <w:proofErr w:type="spellEnd"/>
      <w:r>
        <w:t xml:space="preserve">, </w:t>
      </w:r>
    </w:p>
    <w:p w14:paraId="550BCAC8" w14:textId="77777777" w:rsidR="003F0A1E" w:rsidRDefault="003F0A1E" w:rsidP="003F0A1E">
      <w:pPr>
        <w:spacing w:after="0" w:line="240" w:lineRule="auto"/>
      </w:pPr>
      <w:r>
        <w:t xml:space="preserve">c/o </w:t>
      </w:r>
      <w:proofErr w:type="spellStart"/>
      <w:r>
        <w:t>Soravia</w:t>
      </w:r>
      <w:proofErr w:type="spellEnd"/>
      <w:r>
        <w:t xml:space="preserve"> Equity GmbH, </w:t>
      </w:r>
      <w:proofErr w:type="spellStart"/>
      <w:r>
        <w:t>Austro</w:t>
      </w:r>
      <w:proofErr w:type="spellEnd"/>
      <w:r>
        <w:t xml:space="preserve"> Tower, </w:t>
      </w:r>
      <w:proofErr w:type="spellStart"/>
      <w:r>
        <w:t>Schnirchgasse</w:t>
      </w:r>
      <w:proofErr w:type="spellEnd"/>
      <w:r>
        <w:t xml:space="preserve"> 17, 1030 Wien, Österreich</w:t>
      </w:r>
    </w:p>
    <w:p w14:paraId="406F4FD8" w14:textId="77777777" w:rsidR="003F0A1E" w:rsidRDefault="003F0A1E" w:rsidP="003F0A1E"/>
    <w:p w14:paraId="65D7D417" w14:textId="5D12C68C" w:rsidR="003F0A1E" w:rsidRDefault="003F0A1E" w:rsidP="003F0A1E">
      <w:r>
        <w:t>5)</w:t>
      </w:r>
      <w:r>
        <w:tab/>
        <w:t xml:space="preserve">weitere derzeit nicht namentlich bekannte Personen </w:t>
      </w:r>
    </w:p>
    <w:p w14:paraId="23F05511" w14:textId="77777777" w:rsidR="003F0A1E" w:rsidRDefault="003F0A1E" w:rsidP="003F0A1E">
      <w:r>
        <w:t>(im Folgenden auch: „die Verdächtigen“).</w:t>
      </w:r>
    </w:p>
    <w:p w14:paraId="25E09481" w14:textId="77777777" w:rsidR="003F0A1E" w:rsidRDefault="003F0A1E" w:rsidP="003F0A1E">
      <w:r>
        <w:t>1.</w:t>
      </w:r>
    </w:p>
    <w:p w14:paraId="33ADE837" w14:textId="77777777" w:rsidR="003F0A1E" w:rsidRDefault="003F0A1E" w:rsidP="003F0A1E">
      <w:r>
        <w:lastRenderedPageBreak/>
        <w:t xml:space="preserve">Die One Group GmbH ist nach eigenen Angaben der vollintegrierte Investmentmanager der SORAVIA-Gruppe und einer der </w:t>
      </w:r>
      <w:proofErr w:type="spellStart"/>
      <w:r>
        <w:t>führenden</w:t>
      </w:r>
      <w:proofErr w:type="spellEnd"/>
      <w:r>
        <w:t xml:space="preserve"> Anbieter von Investmentprodukten im Immobiliensegment. </w:t>
      </w:r>
    </w:p>
    <w:p w14:paraId="1F611783" w14:textId="618BDF78" w:rsidR="003F0A1E" w:rsidRDefault="003F0A1E" w:rsidP="003F0A1E">
      <w:r>
        <w:t xml:space="preserve">Die wichtigsten Investmentprodukte der One Group waren Schuldverschreibungen, die unter dem Namen ProReal vermarktet wurden. Anleger beteiligten sich hierüber nicht direkt an Immobilien. Vielmehr vergaben sie ein nachrangiges Darlehen an </w:t>
      </w:r>
      <w:proofErr w:type="spellStart"/>
      <w:r>
        <w:t>Emittentengesellschaften</w:t>
      </w:r>
      <w:proofErr w:type="spellEnd"/>
      <w:r>
        <w:t xml:space="preserve">, die das Geld dann wiederum an einzelne Finanzierungsgesellschaften als nicht nachrangige Darlehen weiterreichten. Die Finanzierungsgesellschaften wiederum sollten das Geld an Immobilienprojektgesellschaften weiterreichen, die dann entsprechende Immobilien projektieren und bauen sollten. Für welche Bauvorhaben das Geld letztlich ausgegeben werden sollte, wussten die Anleger im Vorfeld nicht. Nach Unternehmensangaben haben insgesamt mehr als 16.000 Anleger über 950 Mio. Euro in Pro-Real Produkte investiert. </w:t>
      </w:r>
    </w:p>
    <w:p w14:paraId="3E8817FE" w14:textId="54BDD75F" w:rsidR="003F0A1E" w:rsidRDefault="003F0A1E" w:rsidP="003F0A1E">
      <w:r>
        <w:t xml:space="preserve">Die One Group hatte Anfang 2024 erklärt, in finanzielle Schwierigkeiten geraten zu sein. Im Bau befindliche Projekte sollten fertig gestellt und bereits fertiggestellte Objekte nicht unmittelbar einem Verkauf zugeführt werden müssen, solange befriedigende Verkaufserlöse nicht erzielbar sind. Die One Group erklärte ferner, dass insbesondere Projektentwicklungen ohne signifikante, laufende Mieteinnahmen darauf angewiesen seien, Zinsen für die laufenden Schuldverschreibungen auch aus Verkaufserlösen oder Refinanzierungen zu bedienen, „was derzeit marktbedingt nur sehr eingeschränkt möglich ist“. In die vier Vermögensanlagen haben 11.000 Anleger 409 Mio. Euro investiert. Die One Group hatte am 21.12.2023 angekündigt, die quartalsweise Zinszahlung für 4 der 25 Emissionen auszusetzen (ProReal Deutschland 7, ProReal Deutschland 8, ProReal Europa 9, ProReal Europa 10). </w:t>
      </w:r>
    </w:p>
    <w:p w14:paraId="452FC612" w14:textId="77777777" w:rsidR="003F0A1E" w:rsidRDefault="003F0A1E" w:rsidP="003F0A1E">
      <w:r>
        <w:t xml:space="preserve">Die Tätigkeit der bisherigen Geschäftsführer Malte Thies und Oliver Quentin endete laut Gesellschaft Mitte Januar 2024. Die Nachfolge in der Geschäftsführung sollten Uwe Richter und Mario Kuhn übernehmen. Malte Thies hielt zumindest im Mai 2021 15% der der Gesellschaftsanteile an der One Group. </w:t>
      </w:r>
    </w:p>
    <w:p w14:paraId="104AEC23" w14:textId="152322AB" w:rsidR="003F0A1E" w:rsidRDefault="003F0A1E" w:rsidP="003F0A1E">
      <w:r>
        <w:t xml:space="preserve">Am 20.02.2024 hat die One Group darüber informiert, dass sich schon heute abzeichnet, dass die Zins- und Rückzahlungen bei der Pro Real Deutschland 7 voraussichtlich nicht fristgerecht erfolgen werden können. Vor dem Hintergrund dieser neuen Informationen hat die Emittentin ProReal Deutschland 7 GmbH eine entsprechende Pflicht-Meldung nach § 11a Abs. 1 </w:t>
      </w:r>
      <w:proofErr w:type="spellStart"/>
      <w:r>
        <w:t>VermAnlG</w:t>
      </w:r>
      <w:proofErr w:type="spellEnd"/>
      <w:r>
        <w:t xml:space="preserve"> veröffentlicht. Dort heißt es, dass eine fristgerechte, vollständige Rückzahlung des Nominalbetrags der Vermögensanlage an die Anleger bis spätestens zum 31.12.2024 nicht sichergestellt ist. </w:t>
      </w:r>
    </w:p>
    <w:p w14:paraId="2551BB61" w14:textId="77777777" w:rsidR="003F0A1E" w:rsidRDefault="003F0A1E" w:rsidP="003F0A1E"/>
    <w:p w14:paraId="4B8E48B6" w14:textId="77777777" w:rsidR="003F0A1E" w:rsidRDefault="003F0A1E" w:rsidP="003F0A1E">
      <w:r>
        <w:t xml:space="preserve">Im März 2024 hat die One Group bekannt gegeben, dass für die SC </w:t>
      </w:r>
      <w:proofErr w:type="spellStart"/>
      <w:r>
        <w:t>Finance</w:t>
      </w:r>
      <w:proofErr w:type="spellEnd"/>
      <w:r>
        <w:t xml:space="preserve"> </w:t>
      </w:r>
      <w:proofErr w:type="spellStart"/>
      <w:r>
        <w:t>Four</w:t>
      </w:r>
      <w:proofErr w:type="spellEnd"/>
      <w:r>
        <w:t xml:space="preserve"> GmbH, einer von der ProReal Europa 9 GmbH und ProReal Europa 10 GmbH finanzierten Poolgesellschaft, ein Insolvenzantrag mit Antrag auf Eigenverwaltung </w:t>
      </w:r>
      <w:r>
        <w:lastRenderedPageBreak/>
        <w:t xml:space="preserve">gestellt worden ist. Hintergrund hierfür sei, dass die Projekte Unterföhring (UFO) München und Sylter Hof Berlin aufgrund einer fehlenden tragfähigen Finanzierung vollständig rückabgewickelt werden mussten. Das Projekt Tegernsee musste teilweise rückabgewickelt werden. Zusätzlich hätte sich die Fertigstellung des Projekts Zollhafen Mainz deutlich verzögert. Die SC </w:t>
      </w:r>
      <w:proofErr w:type="spellStart"/>
      <w:r>
        <w:t>Finance</w:t>
      </w:r>
      <w:proofErr w:type="spellEnd"/>
      <w:r>
        <w:t xml:space="preserve"> </w:t>
      </w:r>
      <w:proofErr w:type="spellStart"/>
      <w:r>
        <w:t>Four</w:t>
      </w:r>
      <w:proofErr w:type="spellEnd"/>
      <w:r>
        <w:t xml:space="preserve"> hatte die mit den Schuldverschreibungen </w:t>
      </w:r>
      <w:proofErr w:type="spellStart"/>
      <w:r>
        <w:t>Proreal</w:t>
      </w:r>
      <w:proofErr w:type="spellEnd"/>
      <w:r>
        <w:t xml:space="preserve"> Europa 9 und </w:t>
      </w:r>
      <w:proofErr w:type="spellStart"/>
      <w:r>
        <w:t>Proreal</w:t>
      </w:r>
      <w:proofErr w:type="spellEnd"/>
      <w:r>
        <w:t xml:space="preserve"> Europa 10 eingeworbenen Gelder mit einem Gesamtvolumen von 278 Mio. Euro erhalten und an Gesellschaften der </w:t>
      </w:r>
      <w:proofErr w:type="spellStart"/>
      <w:r>
        <w:t>Soravia</w:t>
      </w:r>
      <w:proofErr w:type="spellEnd"/>
      <w:r>
        <w:t xml:space="preserve"> weitergeleitet.</w:t>
      </w:r>
    </w:p>
    <w:p w14:paraId="03B60E40" w14:textId="77777777" w:rsidR="003F0A1E" w:rsidRDefault="003F0A1E" w:rsidP="003F0A1E">
      <w:r>
        <w:t>Das Amtsgericht Offenbach am Main hat daraufhin die vorläufige Eigenverwaltung im Eröffnungsverfahren angeordnet (Aktenzeichen 8 IN 170/24). Zum vorläufigen Sachwalter ist Rechtsanwalt Dr. Andreas Kleinschmidt aus Frankfurt am Main bestellt worden.</w:t>
      </w:r>
    </w:p>
    <w:p w14:paraId="028233E8" w14:textId="7FF5BFA7" w:rsidR="003F0A1E" w:rsidRDefault="003F0A1E" w:rsidP="003F0A1E">
      <w:r>
        <w:t xml:space="preserve">Einem Pressebericht des Wirtschaftsjournalisten Stefan </w:t>
      </w:r>
      <w:proofErr w:type="spellStart"/>
      <w:r>
        <w:t>Loipfinger</w:t>
      </w:r>
      <w:proofErr w:type="spellEnd"/>
      <w:r>
        <w:t xml:space="preserve"> zufolge hat die SC </w:t>
      </w:r>
      <w:proofErr w:type="spellStart"/>
      <w:r>
        <w:t>Finance</w:t>
      </w:r>
      <w:proofErr w:type="spellEnd"/>
      <w:r>
        <w:t xml:space="preserve"> </w:t>
      </w:r>
      <w:proofErr w:type="spellStart"/>
      <w:r>
        <w:t>Four</w:t>
      </w:r>
      <w:proofErr w:type="spellEnd"/>
      <w:r>
        <w:t xml:space="preserve"> GmbH hat demnach ein Zinsdifferenzgeschäft betrieben, in dem sie 10 Prozent Zinsen an die beiden Emittentinnen Pro Real Europa 9 und 10 gezahlt und selbst zwischen 10,75 und 12,25 Prozent Zinsen von den Projektgesellschaften kassiert hat. Während die empfangenen Darlehen von der Pro Real Europa 9 und 10 immer zu erfüllen sind, unterliegen die an die Projektgesellschaften ausgereichten Darlehen einem qualifizierten Nachrang. Die insolvente Schuldnerin hat dann auch noch nachrangig vereinbarte Rückzahlungen bereits an andere Projektgesellschaften als Darlehensausreichung zugesagt. Notwendige Einzelwertberichtigungen bei vier Projekten brachten das wackelige Finanzkonstrukt dann zum Einsturz.</w:t>
      </w:r>
    </w:p>
    <w:p w14:paraId="2AB138A3" w14:textId="77777777" w:rsidR="003F0A1E" w:rsidRDefault="003F0A1E" w:rsidP="003F0A1E">
      <w:r>
        <w:t xml:space="preserve">Völlig überraschend hat am 18.03.2025 die Eigenverwaltung der SC </w:t>
      </w:r>
      <w:proofErr w:type="spellStart"/>
      <w:r>
        <w:t>Finance</w:t>
      </w:r>
      <w:proofErr w:type="spellEnd"/>
      <w:r>
        <w:t xml:space="preserve"> </w:t>
      </w:r>
      <w:proofErr w:type="spellStart"/>
      <w:r>
        <w:t>Four</w:t>
      </w:r>
      <w:proofErr w:type="spellEnd"/>
      <w:r>
        <w:t xml:space="preserve"> GmbH beim Amtsgericht Offenbach einen Antrag auf Aufhebung des Insolvenzverfahrens gemäß § 212 der Insolvenzordnung gestellt. Die Voraussetzungen für die Insolvenz bestünden nicht mehr, da die ursprünglichen Insolvenzantragsgründe vollumfänglich beseitigt worden sein sollen. Die Geschäftsführung der SCF 4 wolle außerhalb eines Insolvenzverfahrens eine solvente Liquidation durchführen. Dadurch könne statt des ursprünglich erwarteten Erlöses von 11 Millionen Euro ein Erlös von insgesamt 17 Millionen Euro für die Forderungen der PRE 9 und PRE 10 erzielt werden. Darüber hinaus würde ein Besserungsmechanismus zwischen dem Investor und der SCF 4 vereinbart werden, der den Gläubigern der PRE 9 und PRE 10 einen Mittelzufluss von bis zu weiteren 5 Millionen Euro bis Ende 2026 zusichere, falls höhere Rückzahlungen aus bestimmten Projekten realisiert werden könnten. Daraus resultiere eine Erhöhung der Gläubigerquote auf bis zu 22 Millionen Euro.</w:t>
      </w:r>
    </w:p>
    <w:p w14:paraId="6BD69071" w14:textId="77777777" w:rsidR="003F0A1E" w:rsidRDefault="003F0A1E" w:rsidP="003F0A1E"/>
    <w:p w14:paraId="217026FB" w14:textId="0A84C1C5" w:rsidR="003F0A1E" w:rsidRDefault="003F0A1E" w:rsidP="003F0A1E">
      <w:r>
        <w:t xml:space="preserve">Diese Vergleichsvereinbarung umfasst laut einem weiteren Presseartikel allerdings sämtliche Forderungen in Höhe von 286,6 Mio. Euro, während im Insolvenzverfahren 11 Mio. Euro für 200,5 Mio. Euro vorgesehen waren. Zudem dürften die Anfechtungsansprüche gegen SCF1 und SCF3 in Höhe von 11 Mio. Euro weggefallen sein. Der offensichtlich von der Gesellschaft als unbequem empfundene </w:t>
      </w:r>
      <w:r>
        <w:lastRenderedPageBreak/>
        <w:t>eingesetzte Sachwalter Dr. Andreas Kleinschmidt hat sich dem Pressebericht zufolge bei sechs Forderungen in Höhe von insgesamt knapp 86 Mio. Euro nicht mit einer Quote von 5,5% zufrieden geben</w:t>
      </w:r>
      <w:r w:rsidR="00A26F7E">
        <w:t xml:space="preserve"> wollen</w:t>
      </w:r>
      <w:r>
        <w:t xml:space="preserve">. Dies könnte auch vor dem Hintergrund erfolgt sein, dass die größte Schuldnerin </w:t>
      </w:r>
      <w:proofErr w:type="spellStart"/>
      <w:r>
        <w:t>SoReal</w:t>
      </w:r>
      <w:proofErr w:type="spellEnd"/>
      <w:r>
        <w:t xml:space="preserve"> als eine Art Zwischenholding im Konzern agierte und das Anlegerkapital nur weiterreichte. Der letzte veröffentlichte Jahresabschluss 2022 wies einen Bilanzgewinn von 19,9 Mio. Euro und ein Eigenkapital von 22,4 Mio. Euro aus; die Gesamtforderungen der Insolvenzschuldnerin betragen gegenüber der </w:t>
      </w:r>
      <w:proofErr w:type="spellStart"/>
      <w:r>
        <w:t>SoReal</w:t>
      </w:r>
      <w:proofErr w:type="spellEnd"/>
      <w:r>
        <w:t xml:space="preserve"> hingegen „nur“ 28,2 Mio. Euro. Von den 286,6 Mio. Euro durch die SCF4 ausgereichten Darlehen waren den Berechnungen von Investmentcheck zufolge 82,2 Mio. Euro bei den 15 Gesellschaften mit Jahresabschluss 2023 und weitere 156,1 Mio. Euro bei den elf Projektgesellschaften mit Jahresabschluss 2022 vorhanden. Insgesamt wären das zumindest bilanziell 238,3 Mio. Euro oder 83% der Gesamtdarlehen. Dies legt aus unserer Sicht die Vermutung nahe, dass die Bilanzen zum Abschlusszeitpunkt deutlich erhöhte Vermögenswerte ausgewiesen haben und damit falsch waren.</w:t>
      </w:r>
    </w:p>
    <w:p w14:paraId="1F0D2811" w14:textId="77777777" w:rsidR="003F0A1E" w:rsidRDefault="003F0A1E" w:rsidP="003F0A1E">
      <w:r>
        <w:t xml:space="preserve">2. </w:t>
      </w:r>
    </w:p>
    <w:p w14:paraId="56C6D669" w14:textId="77777777" w:rsidR="003F0A1E" w:rsidRDefault="003F0A1E" w:rsidP="003F0A1E">
      <w:r>
        <w:t xml:space="preserve">Die Geschehnisse rund um die </w:t>
      </w:r>
      <w:proofErr w:type="spellStart"/>
      <w:r>
        <w:t>Soravia</w:t>
      </w:r>
      <w:proofErr w:type="spellEnd"/>
      <w:r>
        <w:t xml:space="preserve">-Gruppe wurden u.a. auch in einem Pressbericht der Wirtschaftswoche (Melanie Bergermann, Henryk Hielscher) vom 04.07.2025 ausführlich beleuchtet. </w:t>
      </w:r>
    </w:p>
    <w:p w14:paraId="406851CF" w14:textId="220A628F" w:rsidR="003F0A1E" w:rsidRDefault="003F0A1E" w:rsidP="003F0A1E">
      <w:r>
        <w:t xml:space="preserve">Obwohl die jeweiligen Prospekte vorsahen, dass die Anlegergelder mittelbar oder unmittelbar in Beteiligungen an oder Finanzierungen von immobilienhaltenden Gesellschaften fließen, soll internen Unterlagen zufolge ein Millionenbetrag als Darlehen an eine </w:t>
      </w:r>
      <w:proofErr w:type="spellStart"/>
      <w:r>
        <w:t>Soravia</w:t>
      </w:r>
      <w:proofErr w:type="spellEnd"/>
      <w:r>
        <w:t xml:space="preserve">-Gesellschaft namens SWGG Wing GmbH weitergereicht worden sein. Laut Handelsregisterauszug hat das Unternehmen nur den Betrieb von Luftfahrzeugen als Geschäftszweck. Damit liegt der Verdacht nahe, dass von den Anlegergeldern zweckwidrig ein Flugzeug, Berichten zufolge das Modell Pilatus PC12, finanziert wurde. </w:t>
      </w:r>
    </w:p>
    <w:p w14:paraId="7D173ABA" w14:textId="337EA99A" w:rsidR="003F0A1E" w:rsidRDefault="003F0A1E" w:rsidP="003F0A1E">
      <w:r>
        <w:t>Weiter gibt es laut diesem Pressebericht Hinweise darauf, dass Anlegergelder für Schadensersatzzahlungen bzw. Vertragsstrafen verwendet worden sind. Beispielhaft wird die Rückabwicklung des Berliner Hotels Sylter Hof genannt, bei dem die Anleger rund 30 Mio. Euro verloren haben</w:t>
      </w:r>
      <w:r w:rsidR="00A26F7E">
        <w:t xml:space="preserve"> sollen.</w:t>
      </w:r>
      <w:r>
        <w:t xml:space="preserve"> </w:t>
      </w:r>
    </w:p>
    <w:p w14:paraId="2C2F160F" w14:textId="77777777" w:rsidR="003F0A1E" w:rsidRDefault="003F0A1E" w:rsidP="003F0A1E">
      <w:r>
        <w:t xml:space="preserve">Unklar ist zudem, was mit einem Betrag von rund 10 Mio. Euro passiert ist, der internen Unterlagen zufolge von verschiedenen Anlegergruppen an die Gesellschaft FF-Trading 2 GmbH geflossen sind. Diese Gesellschaft sollte laut Pressebericht ein Grundstück in Frankfurt-Niederrad kaufen und dort ein neues Gebäude errichten. Allerdings hat die FF-Trading 2 das besagte Grundstück nicht erworben und dementsprechend auch nichts dort gebaut. </w:t>
      </w:r>
    </w:p>
    <w:p w14:paraId="09585C64" w14:textId="78C251E6" w:rsidR="003F0A1E" w:rsidRDefault="003F0A1E" w:rsidP="003F0A1E">
      <w:r>
        <w:t xml:space="preserve">Im Vorfeld der Insolvenz der SC </w:t>
      </w:r>
      <w:proofErr w:type="spellStart"/>
      <w:r>
        <w:t>Finance</w:t>
      </w:r>
      <w:proofErr w:type="spellEnd"/>
      <w:r>
        <w:t xml:space="preserve"> </w:t>
      </w:r>
      <w:proofErr w:type="spellStart"/>
      <w:r>
        <w:t>Four</w:t>
      </w:r>
      <w:proofErr w:type="spellEnd"/>
      <w:r>
        <w:t xml:space="preserve"> GmbH hat</w:t>
      </w:r>
      <w:r w:rsidR="00A26F7E">
        <w:t>te</w:t>
      </w:r>
      <w:r>
        <w:t xml:space="preserve"> die </w:t>
      </w:r>
      <w:proofErr w:type="spellStart"/>
      <w:r>
        <w:t>Soravia</w:t>
      </w:r>
      <w:proofErr w:type="spellEnd"/>
      <w:r>
        <w:t xml:space="preserve">-Gruppe eine „umfassende Risikoanalyse des gesamten Portfolios“ angekündigt. Diese Analyse wurde von Michele </w:t>
      </w:r>
      <w:proofErr w:type="spellStart"/>
      <w:r>
        <w:t>Sciurba</w:t>
      </w:r>
      <w:proofErr w:type="spellEnd"/>
      <w:r>
        <w:t xml:space="preserve"> bzw. seiner Beratungsgesellschaft GMVV durchgeführt. Im Dezember 2023 analysierte GMVV für 27 Immobilienprojekte, die von Anlegern </w:t>
      </w:r>
      <w:r>
        <w:lastRenderedPageBreak/>
        <w:t xml:space="preserve">mitfinanziert wurden, die künftig zu erwartenden Geldflüsse. Ab dem zweiten Quartal 2025 sollten die Projekte kumuliert ununterbrochen mehr Geld generieren als verbrauchen. Nur zwei Monate später waren laut </w:t>
      </w:r>
      <w:proofErr w:type="spellStart"/>
      <w:r>
        <w:t>Sciurba</w:t>
      </w:r>
      <w:proofErr w:type="spellEnd"/>
      <w:r>
        <w:t xml:space="preserve"> jedoch vier Projekte</w:t>
      </w:r>
      <w:r w:rsidR="00A26F7E">
        <w:t xml:space="preserve"> davon mit einem zuvor angesetzten</w:t>
      </w:r>
      <w:r>
        <w:t xml:space="preserve"> Wert von rund 88 Mio. Euro quasi wertlos. Als Gründe dafür wurden allerdings Ereignisse aufgeführt, die alle in der Vergangenheit lagen (Corona, Ukrainekrieg, zögerliche Banken, gestiegene Baukosten, ein Brand). Im Insolvenzeröffnungsantrag der SC </w:t>
      </w:r>
      <w:proofErr w:type="spellStart"/>
      <w:r>
        <w:t>Finance</w:t>
      </w:r>
      <w:proofErr w:type="spellEnd"/>
      <w:r>
        <w:t xml:space="preserve"> </w:t>
      </w:r>
      <w:proofErr w:type="spellStart"/>
      <w:r>
        <w:t>Four</w:t>
      </w:r>
      <w:proofErr w:type="spellEnd"/>
      <w:r>
        <w:t xml:space="preserve"> GmbH wurde diese Analyse vorgelegt. Forderungen des Unternehmens in Höhe von über 280 Mio. Euro seien quasi wertlos. Daher werde eine Insolvenzmasse von lediglich rund 5 Mio. Euro erwartet. </w:t>
      </w:r>
    </w:p>
    <w:p w14:paraId="4447591D" w14:textId="77777777" w:rsidR="003F0A1E" w:rsidRDefault="003F0A1E" w:rsidP="003F0A1E">
      <w:r>
        <w:t xml:space="preserve">Im Gutachten erklärt </w:t>
      </w:r>
      <w:proofErr w:type="spellStart"/>
      <w:r>
        <w:t>Sciurba</w:t>
      </w:r>
      <w:proofErr w:type="spellEnd"/>
      <w:r>
        <w:t xml:space="preserve"> laut Wirtschaftswoche, dass der für Projekt Hotel Caro &amp; Selig sowie die 85 Wohnungen auf demselben Gelände von den Anlegern gestellter Baukredit in Höhe von ca. 20 Mio. Euro komplett wertberichtigt werden musste. Allerdings waren die Wohnungen bereits 2022 fertiggestellt und das Hotel wurde an Union Investment verkauft. Es ist daher unklar, wie erst 2024 auffallen konnte, dass das Projekt nicht tragfähig war.</w:t>
      </w:r>
    </w:p>
    <w:p w14:paraId="2EFBAE7A" w14:textId="77777777" w:rsidR="003F0A1E" w:rsidRDefault="003F0A1E" w:rsidP="003F0A1E">
      <w:r>
        <w:t xml:space="preserve">Beim Zollhafen Mainz wurden dem Bericht zufolge mehrere Wohnhäuser errichtet. Wegen der Mehrkosten, die aufgrund von Verzögerungen durch einen Brand entstanden sind, müsse laut </w:t>
      </w:r>
      <w:proofErr w:type="spellStart"/>
      <w:r>
        <w:t>Sciurba</w:t>
      </w:r>
      <w:proofErr w:type="spellEnd"/>
      <w:r>
        <w:t xml:space="preserve"> das von den Anlegern bereitgestellte Darlehen fast vollständig wertberichtigt werden. Allerdings wurden für den Bau Mittel aus verschiedenen Vehikeln benutzt. Anleger, die das erste Vehikel bedient haben, erlitten nahezu einen Totalverlust, Anleger, die das zweite Vehikel bedient haben, hätten ihre Einzahlung in 2023 vollständig zurückerhalten. Diese Ungleichbehandlung trotz identischem Investitionsobjekt ist nicht nachvollziehbar. </w:t>
      </w:r>
    </w:p>
    <w:p w14:paraId="186649A1" w14:textId="3D0ED130" w:rsidR="003F0A1E" w:rsidRDefault="003F0A1E" w:rsidP="003F0A1E">
      <w:r>
        <w:t xml:space="preserve">Im Frühjahr 2024 hat </w:t>
      </w:r>
      <w:proofErr w:type="spellStart"/>
      <w:r>
        <w:t>Soravia</w:t>
      </w:r>
      <w:proofErr w:type="spellEnd"/>
      <w:r>
        <w:t xml:space="preserve"> gegenüber </w:t>
      </w:r>
      <w:r w:rsidR="00A26F7E">
        <w:t>potenziellen</w:t>
      </w:r>
      <w:r>
        <w:t xml:space="preserve"> Neuinvestoren damit geworben, dass maximal 45 Mio. Euro benötigt würden, um 17 Projekte der Anleger fertig zu stellen, die Hälfte davon bereits 2025. Dies steht im Widerspruch zur Behauptung, dass von den Anlegergelder fast nichts mehr verfügbar sei und die Projekte nahezu wertlos seien. </w:t>
      </w:r>
    </w:p>
    <w:p w14:paraId="1457B38A" w14:textId="77777777" w:rsidR="003F0A1E" w:rsidRDefault="003F0A1E" w:rsidP="003F0A1E">
      <w:r>
        <w:t xml:space="preserve">In einem Kündigungsschreiben der Wirtschaftskanzlei Willkie Farr &amp; Gallagher, die zwischenzeitlich für </w:t>
      </w:r>
      <w:proofErr w:type="spellStart"/>
      <w:r>
        <w:t>Soravia</w:t>
      </w:r>
      <w:proofErr w:type="spellEnd"/>
      <w:r>
        <w:t xml:space="preserve"> gearbeitet hatte, erklärt der federführende Anwalt im August 2024, das Mandatsverhältnis „mit sofortiger Wirkung“ zu beenden. Begründet wird dies unter anderem mit einem Mandatsbrief von Michele </w:t>
      </w:r>
      <w:proofErr w:type="spellStart"/>
      <w:r>
        <w:t>Sciurba</w:t>
      </w:r>
      <w:proofErr w:type="spellEnd"/>
      <w:r>
        <w:t xml:space="preserve">, der dem Anwalt im Entwurf vorgelegt worden sei. Darin sei „die Vergütung von GMVV und den von Dr. </w:t>
      </w:r>
      <w:proofErr w:type="spellStart"/>
      <w:r>
        <w:t>Sciurba</w:t>
      </w:r>
      <w:proofErr w:type="spellEnd"/>
      <w:r>
        <w:t xml:space="preserve"> ausgewählten Beratern“ so strukturiert gewesen, dass sie umso höher sein sollte, je niedriger die Quote in der Insolvenz" der Finanzierungsgesellschaft ausfalle. Zudem habe ein </w:t>
      </w:r>
      <w:proofErr w:type="spellStart"/>
      <w:r>
        <w:t>Soravia</w:t>
      </w:r>
      <w:proofErr w:type="spellEnd"/>
      <w:r>
        <w:t xml:space="preserve">-Berater dem Rechtsanwalt am 05.08.2024 damit gedroht, „er wolle [ihm] einen Schlägertrupp in die Kanzlei schicken, um [ihm] beizubringen, dass mit ihm nicht zu spaßen ist“. </w:t>
      </w:r>
    </w:p>
    <w:p w14:paraId="329298FB" w14:textId="77777777" w:rsidR="003F0A1E" w:rsidRDefault="003F0A1E" w:rsidP="003F0A1E">
      <w:r>
        <w:t xml:space="preserve">Zudem soll ein Berater der Geschäftsleitung von </w:t>
      </w:r>
      <w:proofErr w:type="spellStart"/>
      <w:r>
        <w:t>Soravia</w:t>
      </w:r>
      <w:proofErr w:type="spellEnd"/>
      <w:r>
        <w:t xml:space="preserve"> mehrfach die geschäftsführenden Gesellschafter der </w:t>
      </w:r>
      <w:proofErr w:type="spellStart"/>
      <w:r>
        <w:t>Soravia</w:t>
      </w:r>
      <w:proofErr w:type="spellEnd"/>
      <w:r>
        <w:t xml:space="preserve">-Gruppe bedroht haben sowie für </w:t>
      </w:r>
      <w:r>
        <w:lastRenderedPageBreak/>
        <w:t>einen „tätlichen Übergriff“ auf einen Rechtsanwalt am Frankfurter Opernplatz verantwortlich sein.</w:t>
      </w:r>
    </w:p>
    <w:p w14:paraId="4D30FAF6" w14:textId="77777777" w:rsidR="003F0A1E" w:rsidRDefault="003F0A1E" w:rsidP="003F0A1E">
      <w:r>
        <w:t xml:space="preserve">Für den Antrag auf Aufhebung des Insolvenzverfahrens bei der SC </w:t>
      </w:r>
      <w:proofErr w:type="spellStart"/>
      <w:r>
        <w:t>Finance</w:t>
      </w:r>
      <w:proofErr w:type="spellEnd"/>
      <w:r>
        <w:t xml:space="preserve"> </w:t>
      </w:r>
      <w:proofErr w:type="spellStart"/>
      <w:r>
        <w:t>Four</w:t>
      </w:r>
      <w:proofErr w:type="spellEnd"/>
      <w:r>
        <w:t xml:space="preserve"> GmbH hatten die Pro Real 9 GmbH sowie die  Pro Real 10 GmbH, jeweils vertreten durch ihren Geschäftsführer Joachim Winter, auf ihre Forderungen gegenüber der SC </w:t>
      </w:r>
      <w:proofErr w:type="spellStart"/>
      <w:r>
        <w:t>Finance</w:t>
      </w:r>
      <w:proofErr w:type="spellEnd"/>
      <w:r>
        <w:t xml:space="preserve"> </w:t>
      </w:r>
      <w:proofErr w:type="spellStart"/>
      <w:r>
        <w:t>Four</w:t>
      </w:r>
      <w:proofErr w:type="spellEnd"/>
      <w:r>
        <w:t xml:space="preserve"> GmbH in Höhe von 280 Mio. Euro </w:t>
      </w:r>
      <w:proofErr w:type="spellStart"/>
      <w:r>
        <w:t>großteils</w:t>
      </w:r>
      <w:proofErr w:type="spellEnd"/>
      <w:r>
        <w:t xml:space="preserve"> verzichtet. </w:t>
      </w:r>
    </w:p>
    <w:p w14:paraId="3DC8A755" w14:textId="77777777" w:rsidR="003F0A1E" w:rsidRDefault="003F0A1E" w:rsidP="003F0A1E">
      <w:r>
        <w:t xml:space="preserve">3. </w:t>
      </w:r>
    </w:p>
    <w:p w14:paraId="55C82C5D" w14:textId="77777777" w:rsidR="003F0A1E" w:rsidRDefault="003F0A1E" w:rsidP="003F0A1E">
      <w:r>
        <w:t xml:space="preserve">Zudem steht die Vermutung im Raum, dass die </w:t>
      </w:r>
      <w:proofErr w:type="spellStart"/>
      <w:r>
        <w:t>Soravia</w:t>
      </w:r>
      <w:proofErr w:type="spellEnd"/>
      <w:r>
        <w:t xml:space="preserve"> Investment Holding GmbH mit Sitz in Wien, Österreich, vertreten durch deren Geschäftsführer Erwin </w:t>
      </w:r>
      <w:proofErr w:type="spellStart"/>
      <w:r>
        <w:t>Soravia</w:t>
      </w:r>
      <w:proofErr w:type="spellEnd"/>
      <w:r>
        <w:t xml:space="preserve">, aufgrund des überragenden wirtschaftlichen Interesses auf die Konzerngesellschaften bzw. deren Organe in unzulässiger Weise eingewirkt oder selbst an den dargestellten Taten zumindest mittelbar beteiligt waren. </w:t>
      </w:r>
    </w:p>
    <w:p w14:paraId="7331D66A" w14:textId="37BD5253" w:rsidR="003F0A1E" w:rsidRDefault="00A26F7E" w:rsidP="003F0A1E">
      <w:r>
        <w:t>4</w:t>
      </w:r>
      <w:r w:rsidR="003F0A1E">
        <w:t>.</w:t>
      </w:r>
    </w:p>
    <w:p w14:paraId="59FB84C3" w14:textId="404A08F5" w:rsidR="003F0A1E" w:rsidRDefault="003F0A1E" w:rsidP="003F0A1E">
      <w:r>
        <w:t>Es besteht der Verdacht, dass die Verdächtigen durch ihr Handeln diverse Straftaten begangen haben. Nach den derzeitigen Erkenntnissen haben aus unserer Sicht die Verdächtigen kollusiv zusammengewirkt und durch zweckwidrige Verwendung von Anlegergeldern, unzutreffende Wertgutachten bzw. bereits unrichtigen Angaben in Wertpapierprospekten und unangemessenen Forderungsverzichten die Anleger gezielt geschädigt, um sich selbst zu bereichern. Hinzu kommt die körperliche Gewaltanwendung bzw. –</w:t>
      </w:r>
      <w:proofErr w:type="spellStart"/>
      <w:r>
        <w:t>androhung</w:t>
      </w:r>
      <w:proofErr w:type="spellEnd"/>
      <w:r>
        <w:t xml:space="preserve">. </w:t>
      </w:r>
    </w:p>
    <w:p w14:paraId="2121166A" w14:textId="73466AE7" w:rsidR="003F0A1E" w:rsidRDefault="003F0A1E" w:rsidP="003F0A1E">
      <w:r>
        <w:t xml:space="preserve">Maßgebliche Straftatbestände wären hier insbesondere gewerbs- und bandenmäßiger Betrug (§ 263 Abs. 3 S. 2 Nr. 1 StGB), Kapitalanlagebetrug (§ 264a StGB), Kreditbetrug (§ 265b StGB), gewerbs- und bandenmäßiger Untreue (§ 266 Abs. 1, Abs. 2 </w:t>
      </w:r>
      <w:proofErr w:type="spellStart"/>
      <w:r>
        <w:t>i.V.m</w:t>
      </w:r>
      <w:proofErr w:type="spellEnd"/>
      <w:r>
        <w:t xml:space="preserve">. § 263 Abs. 3 S. 2 Nr. 1 StGB) sowie Bedrohung (§ 241 StGB) und Körperverletzung (§ 223 StGB). Ferner erbitten wir Sie, wegen aller sonstiger in Frage kommenden Straftatbestände zu ermitteln. Gegenüber allen genannten Personen gilt die Unschuldsvermutung. </w:t>
      </w:r>
    </w:p>
    <w:p w14:paraId="62AB703D" w14:textId="5318ECD7" w:rsidR="003F0A1E" w:rsidRDefault="003F0A1E" w:rsidP="003F0A1E">
      <w:r>
        <w:t>Für Rückfragen stehe</w:t>
      </w:r>
      <w:r w:rsidR="00A26F7E">
        <w:t xml:space="preserve"> ich/</w:t>
      </w:r>
      <w:r>
        <w:t>wir gerne zur Verfügung.</w:t>
      </w:r>
    </w:p>
    <w:p w14:paraId="54E5AFAC" w14:textId="77777777" w:rsidR="003F0A1E" w:rsidRDefault="003F0A1E" w:rsidP="003F0A1E">
      <w:r>
        <w:t>Mit freundlichen Grüßen</w:t>
      </w:r>
    </w:p>
    <w:p w14:paraId="51C3017C" w14:textId="77777777" w:rsidR="00A26F7E" w:rsidRDefault="00A26F7E" w:rsidP="003F0A1E"/>
    <w:sectPr w:rsidR="00A26F7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ED185" w14:textId="77777777" w:rsidR="008F78DF" w:rsidRDefault="008F78DF" w:rsidP="003F0A1E">
      <w:pPr>
        <w:spacing w:after="0" w:line="240" w:lineRule="auto"/>
      </w:pPr>
      <w:r>
        <w:separator/>
      </w:r>
    </w:p>
  </w:endnote>
  <w:endnote w:type="continuationSeparator" w:id="0">
    <w:p w14:paraId="0B29CA1C" w14:textId="77777777" w:rsidR="008F78DF" w:rsidRDefault="008F78DF" w:rsidP="003F0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B51F1" w14:textId="77777777" w:rsidR="008F78DF" w:rsidRDefault="008F78DF" w:rsidP="003F0A1E">
      <w:pPr>
        <w:spacing w:after="0" w:line="240" w:lineRule="auto"/>
      </w:pPr>
      <w:r>
        <w:separator/>
      </w:r>
    </w:p>
  </w:footnote>
  <w:footnote w:type="continuationSeparator" w:id="0">
    <w:p w14:paraId="2A78F66F" w14:textId="77777777" w:rsidR="008F78DF" w:rsidRDefault="008F78DF" w:rsidP="003F0A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A1E"/>
    <w:rsid w:val="001B7DFB"/>
    <w:rsid w:val="003F0A1E"/>
    <w:rsid w:val="004D1676"/>
    <w:rsid w:val="008F78DF"/>
    <w:rsid w:val="00A26F7E"/>
    <w:rsid w:val="00D50E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F0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F0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F0A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F0A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F0A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F0A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F0A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F0A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F0A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0A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F0A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F0A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F0A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F0A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F0A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0A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F0A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0A1E"/>
    <w:rPr>
      <w:rFonts w:eastAsiaTheme="majorEastAsia" w:cstheme="majorBidi"/>
      <w:color w:val="272727" w:themeColor="text1" w:themeTint="D8"/>
    </w:rPr>
  </w:style>
  <w:style w:type="paragraph" w:styleId="Titel">
    <w:name w:val="Title"/>
    <w:basedOn w:val="Standard"/>
    <w:next w:val="Standard"/>
    <w:link w:val="TitelZchn"/>
    <w:uiPriority w:val="10"/>
    <w:qFormat/>
    <w:rsid w:val="003F0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F0A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F0A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F0A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F0A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F0A1E"/>
    <w:rPr>
      <w:i/>
      <w:iCs/>
      <w:color w:val="404040" w:themeColor="text1" w:themeTint="BF"/>
    </w:rPr>
  </w:style>
  <w:style w:type="paragraph" w:styleId="Listenabsatz">
    <w:name w:val="List Paragraph"/>
    <w:basedOn w:val="Standard"/>
    <w:uiPriority w:val="34"/>
    <w:qFormat/>
    <w:rsid w:val="003F0A1E"/>
    <w:pPr>
      <w:ind w:left="720"/>
      <w:contextualSpacing/>
    </w:pPr>
  </w:style>
  <w:style w:type="character" w:styleId="IntensiveHervorhebung">
    <w:name w:val="Intense Emphasis"/>
    <w:basedOn w:val="Absatz-Standardschriftart"/>
    <w:uiPriority w:val="21"/>
    <w:qFormat/>
    <w:rsid w:val="003F0A1E"/>
    <w:rPr>
      <w:i/>
      <w:iCs/>
      <w:color w:val="0F4761" w:themeColor="accent1" w:themeShade="BF"/>
    </w:rPr>
  </w:style>
  <w:style w:type="paragraph" w:styleId="IntensivesZitat">
    <w:name w:val="Intense Quote"/>
    <w:basedOn w:val="Standard"/>
    <w:next w:val="Standard"/>
    <w:link w:val="IntensivesZitatZchn"/>
    <w:uiPriority w:val="30"/>
    <w:qFormat/>
    <w:rsid w:val="003F0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F0A1E"/>
    <w:rPr>
      <w:i/>
      <w:iCs/>
      <w:color w:val="0F4761" w:themeColor="accent1" w:themeShade="BF"/>
    </w:rPr>
  </w:style>
  <w:style w:type="character" w:styleId="IntensiverVerweis">
    <w:name w:val="Intense Reference"/>
    <w:basedOn w:val="Absatz-Standardschriftart"/>
    <w:uiPriority w:val="32"/>
    <w:qFormat/>
    <w:rsid w:val="003F0A1E"/>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F0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F0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F0A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F0A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F0A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F0A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F0A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F0A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F0A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0A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F0A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F0A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F0A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F0A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F0A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0A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F0A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0A1E"/>
    <w:rPr>
      <w:rFonts w:eastAsiaTheme="majorEastAsia" w:cstheme="majorBidi"/>
      <w:color w:val="272727" w:themeColor="text1" w:themeTint="D8"/>
    </w:rPr>
  </w:style>
  <w:style w:type="paragraph" w:styleId="Titel">
    <w:name w:val="Title"/>
    <w:basedOn w:val="Standard"/>
    <w:next w:val="Standard"/>
    <w:link w:val="TitelZchn"/>
    <w:uiPriority w:val="10"/>
    <w:qFormat/>
    <w:rsid w:val="003F0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F0A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F0A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F0A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F0A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F0A1E"/>
    <w:rPr>
      <w:i/>
      <w:iCs/>
      <w:color w:val="404040" w:themeColor="text1" w:themeTint="BF"/>
    </w:rPr>
  </w:style>
  <w:style w:type="paragraph" w:styleId="Listenabsatz">
    <w:name w:val="List Paragraph"/>
    <w:basedOn w:val="Standard"/>
    <w:uiPriority w:val="34"/>
    <w:qFormat/>
    <w:rsid w:val="003F0A1E"/>
    <w:pPr>
      <w:ind w:left="720"/>
      <w:contextualSpacing/>
    </w:pPr>
  </w:style>
  <w:style w:type="character" w:styleId="IntensiveHervorhebung">
    <w:name w:val="Intense Emphasis"/>
    <w:basedOn w:val="Absatz-Standardschriftart"/>
    <w:uiPriority w:val="21"/>
    <w:qFormat/>
    <w:rsid w:val="003F0A1E"/>
    <w:rPr>
      <w:i/>
      <w:iCs/>
      <w:color w:val="0F4761" w:themeColor="accent1" w:themeShade="BF"/>
    </w:rPr>
  </w:style>
  <w:style w:type="paragraph" w:styleId="IntensivesZitat">
    <w:name w:val="Intense Quote"/>
    <w:basedOn w:val="Standard"/>
    <w:next w:val="Standard"/>
    <w:link w:val="IntensivesZitatZchn"/>
    <w:uiPriority w:val="30"/>
    <w:qFormat/>
    <w:rsid w:val="003F0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F0A1E"/>
    <w:rPr>
      <w:i/>
      <w:iCs/>
      <w:color w:val="0F4761" w:themeColor="accent1" w:themeShade="BF"/>
    </w:rPr>
  </w:style>
  <w:style w:type="character" w:styleId="IntensiverVerweis">
    <w:name w:val="Intense Reference"/>
    <w:basedOn w:val="Absatz-Standardschriftart"/>
    <w:uiPriority w:val="32"/>
    <w:qFormat/>
    <w:rsid w:val="003F0A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2021</Words>
  <Characters>12733</Characters>
  <Application>Microsoft Office Word</Application>
  <DocSecurity>4</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Bauer</dc:creator>
  <cp:lastModifiedBy>Marlen Urner</cp:lastModifiedBy>
  <cp:revision>2</cp:revision>
  <dcterms:created xsi:type="dcterms:W3CDTF">2025-07-18T14:53:00Z</dcterms:created>
  <dcterms:modified xsi:type="dcterms:W3CDTF">2025-07-18T14:53:00Z</dcterms:modified>
</cp:coreProperties>
</file>